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F9" w:rsidRDefault="00D42983">
      <w:r w:rsidRPr="00D42983">
        <w:drawing>
          <wp:inline distT="0" distB="0" distL="0" distR="0">
            <wp:extent cx="3495675" cy="272415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2983" w:rsidRDefault="00D42983"/>
    <w:p w:rsidR="00D42983" w:rsidRDefault="00D42983"/>
    <w:p w:rsidR="00D42983" w:rsidRDefault="00D42983">
      <w:r w:rsidRPr="00D42983">
        <w:drawing>
          <wp:inline distT="0" distB="0" distL="0" distR="0">
            <wp:extent cx="3181350" cy="2724150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2983" w:rsidRDefault="00D42983" w:rsidP="00D42983">
      <w:bookmarkStart w:id="0" w:name="_GoBack"/>
      <w:bookmarkEnd w:id="0"/>
    </w:p>
    <w:p w:rsidR="00D42983" w:rsidRPr="00D42983" w:rsidRDefault="00D42983" w:rsidP="00D42983">
      <w:pPr>
        <w:tabs>
          <w:tab w:val="left" w:pos="1920"/>
        </w:tabs>
      </w:pPr>
      <w:r>
        <w:tab/>
      </w:r>
      <w:r w:rsidRPr="00D42983">
        <w:rPr>
          <w:i/>
        </w:rPr>
        <w:sym w:font="Symbol" w:char="F078"/>
      </w:r>
      <w:r>
        <w:t xml:space="preserve"> : </w:t>
      </w:r>
      <w:proofErr w:type="gramStart"/>
      <w:r>
        <w:t>phase</w:t>
      </w:r>
      <w:proofErr w:type="gramEnd"/>
      <w:r>
        <w:t xml:space="preserve"> of pitch angle</w:t>
      </w:r>
    </w:p>
    <w:sectPr w:rsidR="00D42983" w:rsidRPr="00D4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9"/>
    <w:rsid w:val="000101A9"/>
    <w:rsid w:val="000214EB"/>
    <w:rsid w:val="00023E07"/>
    <w:rsid w:val="00040441"/>
    <w:rsid w:val="0004138D"/>
    <w:rsid w:val="000572AB"/>
    <w:rsid w:val="00063C12"/>
    <w:rsid w:val="000864E0"/>
    <w:rsid w:val="000870BD"/>
    <w:rsid w:val="0009093B"/>
    <w:rsid w:val="0009384F"/>
    <w:rsid w:val="000B6A15"/>
    <w:rsid w:val="000C0392"/>
    <w:rsid w:val="000E447A"/>
    <w:rsid w:val="000E6993"/>
    <w:rsid w:val="0010522F"/>
    <w:rsid w:val="00120954"/>
    <w:rsid w:val="00120E28"/>
    <w:rsid w:val="00125E9D"/>
    <w:rsid w:val="00126F42"/>
    <w:rsid w:val="001318CE"/>
    <w:rsid w:val="001339F9"/>
    <w:rsid w:val="001345BC"/>
    <w:rsid w:val="001426FC"/>
    <w:rsid w:val="00142DE0"/>
    <w:rsid w:val="00164149"/>
    <w:rsid w:val="00185D80"/>
    <w:rsid w:val="00191162"/>
    <w:rsid w:val="001A09BE"/>
    <w:rsid w:val="001B0567"/>
    <w:rsid w:val="001B2352"/>
    <w:rsid w:val="001D169B"/>
    <w:rsid w:val="001D4B1E"/>
    <w:rsid w:val="001E457A"/>
    <w:rsid w:val="001E53FB"/>
    <w:rsid w:val="00200CFA"/>
    <w:rsid w:val="00230ADC"/>
    <w:rsid w:val="002326AD"/>
    <w:rsid w:val="00235A60"/>
    <w:rsid w:val="00251D85"/>
    <w:rsid w:val="00263909"/>
    <w:rsid w:val="0028422A"/>
    <w:rsid w:val="002A0C74"/>
    <w:rsid w:val="002A350F"/>
    <w:rsid w:val="002B0ED2"/>
    <w:rsid w:val="002B1AE1"/>
    <w:rsid w:val="002B5F73"/>
    <w:rsid w:val="002B61EF"/>
    <w:rsid w:val="002D65F5"/>
    <w:rsid w:val="002F6B44"/>
    <w:rsid w:val="00301A04"/>
    <w:rsid w:val="00303240"/>
    <w:rsid w:val="003042B5"/>
    <w:rsid w:val="003268E5"/>
    <w:rsid w:val="00332228"/>
    <w:rsid w:val="003A0976"/>
    <w:rsid w:val="003A4066"/>
    <w:rsid w:val="003A4177"/>
    <w:rsid w:val="003A5B2F"/>
    <w:rsid w:val="003C3383"/>
    <w:rsid w:val="003C3BBC"/>
    <w:rsid w:val="003E6CF0"/>
    <w:rsid w:val="003F433A"/>
    <w:rsid w:val="00407A29"/>
    <w:rsid w:val="0041050C"/>
    <w:rsid w:val="00411151"/>
    <w:rsid w:val="00413AE9"/>
    <w:rsid w:val="0042018E"/>
    <w:rsid w:val="00422A2A"/>
    <w:rsid w:val="0042337F"/>
    <w:rsid w:val="004237D6"/>
    <w:rsid w:val="00437218"/>
    <w:rsid w:val="0045153F"/>
    <w:rsid w:val="0046333A"/>
    <w:rsid w:val="00473ADD"/>
    <w:rsid w:val="004B0BB2"/>
    <w:rsid w:val="004D588A"/>
    <w:rsid w:val="005065CA"/>
    <w:rsid w:val="00507B5C"/>
    <w:rsid w:val="00512690"/>
    <w:rsid w:val="00520C8E"/>
    <w:rsid w:val="005345B1"/>
    <w:rsid w:val="005557FB"/>
    <w:rsid w:val="005667B4"/>
    <w:rsid w:val="0058381F"/>
    <w:rsid w:val="00584460"/>
    <w:rsid w:val="00596E3B"/>
    <w:rsid w:val="005A1111"/>
    <w:rsid w:val="005B356C"/>
    <w:rsid w:val="005B46B8"/>
    <w:rsid w:val="005C0787"/>
    <w:rsid w:val="005C2FAC"/>
    <w:rsid w:val="005C6D6C"/>
    <w:rsid w:val="005D6E25"/>
    <w:rsid w:val="005F1929"/>
    <w:rsid w:val="005F2E3D"/>
    <w:rsid w:val="00611FFA"/>
    <w:rsid w:val="006162C4"/>
    <w:rsid w:val="006172F9"/>
    <w:rsid w:val="00617415"/>
    <w:rsid w:val="00617C80"/>
    <w:rsid w:val="00623D1F"/>
    <w:rsid w:val="0063598F"/>
    <w:rsid w:val="00640FEA"/>
    <w:rsid w:val="00643604"/>
    <w:rsid w:val="006463C2"/>
    <w:rsid w:val="006468BA"/>
    <w:rsid w:val="00662036"/>
    <w:rsid w:val="00687992"/>
    <w:rsid w:val="00696275"/>
    <w:rsid w:val="006A6065"/>
    <w:rsid w:val="006B5B85"/>
    <w:rsid w:val="006B6C73"/>
    <w:rsid w:val="006D6E01"/>
    <w:rsid w:val="007075E9"/>
    <w:rsid w:val="00715599"/>
    <w:rsid w:val="00725127"/>
    <w:rsid w:val="00733B71"/>
    <w:rsid w:val="007451C2"/>
    <w:rsid w:val="0078045A"/>
    <w:rsid w:val="0078192E"/>
    <w:rsid w:val="00783ED5"/>
    <w:rsid w:val="00785DC1"/>
    <w:rsid w:val="007932F3"/>
    <w:rsid w:val="007B1919"/>
    <w:rsid w:val="007B7F3A"/>
    <w:rsid w:val="007C00D7"/>
    <w:rsid w:val="007D2BFD"/>
    <w:rsid w:val="007D6B1F"/>
    <w:rsid w:val="007E32EB"/>
    <w:rsid w:val="007E4FF6"/>
    <w:rsid w:val="007F350B"/>
    <w:rsid w:val="00801DFC"/>
    <w:rsid w:val="00810E82"/>
    <w:rsid w:val="0081461B"/>
    <w:rsid w:val="00832A0C"/>
    <w:rsid w:val="008330B1"/>
    <w:rsid w:val="0084522C"/>
    <w:rsid w:val="008515A5"/>
    <w:rsid w:val="00852299"/>
    <w:rsid w:val="00860E42"/>
    <w:rsid w:val="00864D16"/>
    <w:rsid w:val="00865650"/>
    <w:rsid w:val="008669E8"/>
    <w:rsid w:val="00867FDB"/>
    <w:rsid w:val="0087649D"/>
    <w:rsid w:val="0088054C"/>
    <w:rsid w:val="00880BE2"/>
    <w:rsid w:val="0088413E"/>
    <w:rsid w:val="00885F9D"/>
    <w:rsid w:val="008A30C8"/>
    <w:rsid w:val="008A5C99"/>
    <w:rsid w:val="008C0467"/>
    <w:rsid w:val="008F18DD"/>
    <w:rsid w:val="008F3B64"/>
    <w:rsid w:val="008F7DFD"/>
    <w:rsid w:val="009010A4"/>
    <w:rsid w:val="00907A56"/>
    <w:rsid w:val="00907F69"/>
    <w:rsid w:val="00912B41"/>
    <w:rsid w:val="009216B5"/>
    <w:rsid w:val="00932C4C"/>
    <w:rsid w:val="0093590E"/>
    <w:rsid w:val="00944C00"/>
    <w:rsid w:val="009507CF"/>
    <w:rsid w:val="0095794B"/>
    <w:rsid w:val="00976E50"/>
    <w:rsid w:val="00981A40"/>
    <w:rsid w:val="009834E0"/>
    <w:rsid w:val="009B345C"/>
    <w:rsid w:val="009B3988"/>
    <w:rsid w:val="009D723C"/>
    <w:rsid w:val="009E1120"/>
    <w:rsid w:val="009E1E47"/>
    <w:rsid w:val="00A01E48"/>
    <w:rsid w:val="00A0317A"/>
    <w:rsid w:val="00A04D62"/>
    <w:rsid w:val="00A05F8C"/>
    <w:rsid w:val="00A1459A"/>
    <w:rsid w:val="00A20D84"/>
    <w:rsid w:val="00A25606"/>
    <w:rsid w:val="00A30741"/>
    <w:rsid w:val="00A527E0"/>
    <w:rsid w:val="00A53540"/>
    <w:rsid w:val="00A554A0"/>
    <w:rsid w:val="00A705EB"/>
    <w:rsid w:val="00A73267"/>
    <w:rsid w:val="00A7620F"/>
    <w:rsid w:val="00A778D9"/>
    <w:rsid w:val="00A81017"/>
    <w:rsid w:val="00A83863"/>
    <w:rsid w:val="00A93B72"/>
    <w:rsid w:val="00A95BD8"/>
    <w:rsid w:val="00AA158F"/>
    <w:rsid w:val="00AA40C9"/>
    <w:rsid w:val="00AB340D"/>
    <w:rsid w:val="00AC3FFF"/>
    <w:rsid w:val="00AC749C"/>
    <w:rsid w:val="00AD05A9"/>
    <w:rsid w:val="00AD4382"/>
    <w:rsid w:val="00AE529C"/>
    <w:rsid w:val="00AF1195"/>
    <w:rsid w:val="00B019F5"/>
    <w:rsid w:val="00B028E3"/>
    <w:rsid w:val="00B041F3"/>
    <w:rsid w:val="00B04DED"/>
    <w:rsid w:val="00B10E69"/>
    <w:rsid w:val="00B22AFC"/>
    <w:rsid w:val="00B31BB5"/>
    <w:rsid w:val="00B43312"/>
    <w:rsid w:val="00B7457A"/>
    <w:rsid w:val="00B83C76"/>
    <w:rsid w:val="00B94F1A"/>
    <w:rsid w:val="00B97F66"/>
    <w:rsid w:val="00BA0285"/>
    <w:rsid w:val="00BA1119"/>
    <w:rsid w:val="00BA6917"/>
    <w:rsid w:val="00BD1EB0"/>
    <w:rsid w:val="00BD4D7B"/>
    <w:rsid w:val="00BF2357"/>
    <w:rsid w:val="00BF2525"/>
    <w:rsid w:val="00C13E69"/>
    <w:rsid w:val="00C2057C"/>
    <w:rsid w:val="00C26A12"/>
    <w:rsid w:val="00C40193"/>
    <w:rsid w:val="00C42D4B"/>
    <w:rsid w:val="00C611D9"/>
    <w:rsid w:val="00C6370B"/>
    <w:rsid w:val="00C72045"/>
    <w:rsid w:val="00C87B94"/>
    <w:rsid w:val="00CA7AE0"/>
    <w:rsid w:val="00CB47C2"/>
    <w:rsid w:val="00CC0953"/>
    <w:rsid w:val="00CC6609"/>
    <w:rsid w:val="00CC6688"/>
    <w:rsid w:val="00CC74E3"/>
    <w:rsid w:val="00CD2801"/>
    <w:rsid w:val="00CF6ADC"/>
    <w:rsid w:val="00D1447B"/>
    <w:rsid w:val="00D14884"/>
    <w:rsid w:val="00D17139"/>
    <w:rsid w:val="00D34148"/>
    <w:rsid w:val="00D42983"/>
    <w:rsid w:val="00D47427"/>
    <w:rsid w:val="00D47589"/>
    <w:rsid w:val="00D71EB7"/>
    <w:rsid w:val="00D97271"/>
    <w:rsid w:val="00DA64A8"/>
    <w:rsid w:val="00DB2F47"/>
    <w:rsid w:val="00DB5FF4"/>
    <w:rsid w:val="00DB69E3"/>
    <w:rsid w:val="00DC2FA9"/>
    <w:rsid w:val="00DE1ECB"/>
    <w:rsid w:val="00E006E8"/>
    <w:rsid w:val="00E13AF0"/>
    <w:rsid w:val="00E16975"/>
    <w:rsid w:val="00E23787"/>
    <w:rsid w:val="00E2399E"/>
    <w:rsid w:val="00E37257"/>
    <w:rsid w:val="00E4019C"/>
    <w:rsid w:val="00E65E62"/>
    <w:rsid w:val="00E933AD"/>
    <w:rsid w:val="00E95E18"/>
    <w:rsid w:val="00EA6B4D"/>
    <w:rsid w:val="00EC401F"/>
    <w:rsid w:val="00ED179B"/>
    <w:rsid w:val="00ED2769"/>
    <w:rsid w:val="00EF21E3"/>
    <w:rsid w:val="00EF3EC8"/>
    <w:rsid w:val="00EF651F"/>
    <w:rsid w:val="00EF6FC6"/>
    <w:rsid w:val="00F05CB9"/>
    <w:rsid w:val="00F34AA3"/>
    <w:rsid w:val="00F43F94"/>
    <w:rsid w:val="00F51A7D"/>
    <w:rsid w:val="00F56E9C"/>
    <w:rsid w:val="00F60808"/>
    <w:rsid w:val="00F624CC"/>
    <w:rsid w:val="00F63B3E"/>
    <w:rsid w:val="00F64FD0"/>
    <w:rsid w:val="00F70052"/>
    <w:rsid w:val="00F70836"/>
    <w:rsid w:val="00F76EE1"/>
    <w:rsid w:val="00F9026E"/>
    <w:rsid w:val="00FB5AF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DF0A-8A75-4964-A857-7482B32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42466458901672"/>
          <c:y val="2.5612725623689766E-2"/>
          <c:w val="0.83934027256648625"/>
          <c:h val="0.83546393941686026"/>
        </c:manualLayout>
      </c:layout>
      <c:scatterChart>
        <c:scatterStyle val="lineMarker"/>
        <c:varyColors val="0"/>
        <c:ser>
          <c:idx val="0"/>
          <c:order val="0"/>
          <c:tx>
            <c:strRef>
              <c:f>yaw0!$C$7</c:f>
              <c:strCache>
                <c:ptCount val="1"/>
                <c:pt idx="0">
                  <c:v>ξ=0</c:v>
                </c:pt>
              </c:strCache>
            </c:strRef>
          </c:tx>
          <c:spPr>
            <a:ln w="15834">
              <a:solidFill>
                <a:srgbClr val="300EFE"/>
              </a:solidFill>
            </a:ln>
          </c:spPr>
          <c:marker>
            <c:symbol val="circle"/>
            <c:size val="4"/>
            <c:spPr>
              <a:solidFill>
                <a:srgbClr val="300EFE"/>
              </a:solidFill>
              <a:ln>
                <a:solidFill>
                  <a:srgbClr val="300EFE">
                    <a:alpha val="97000"/>
                  </a:srgbClr>
                </a:solidFill>
              </a:ln>
            </c:spPr>
          </c:marker>
          <c:xVal>
            <c:numRef>
              <c:f>yaw0!$B$13:$B$15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-1</c:v>
                </c:pt>
              </c:numCache>
            </c:numRef>
          </c:xVal>
          <c:yVal>
            <c:numRef>
              <c:f>yaw0!$C$13:$C$15</c:f>
              <c:numCache>
                <c:formatCode>General</c:formatCode>
                <c:ptCount val="3"/>
                <c:pt idx="0">
                  <c:v>0.84891618548025694</c:v>
                </c:pt>
                <c:pt idx="1">
                  <c:v>8.5366363276995205E-5</c:v>
                </c:pt>
                <c:pt idx="2">
                  <c:v>-0.84604080442882401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yaw0!$F$7</c:f>
              <c:strCache>
                <c:ptCount val="1"/>
                <c:pt idx="0">
                  <c:v>ξ=45</c:v>
                </c:pt>
              </c:strCache>
            </c:strRef>
          </c:tx>
          <c:spPr>
            <a:ln w="15834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yaw0!$AE$13:$AE$16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-1</c:v>
                </c:pt>
              </c:numCache>
            </c:numRef>
          </c:xVal>
          <c:yVal>
            <c:numRef>
              <c:f>yaw0!$AI$13:$AI$15</c:f>
              <c:numCache>
                <c:formatCode>General</c:formatCode>
                <c:ptCount val="3"/>
                <c:pt idx="0">
                  <c:v>0.602671580224034</c:v>
                </c:pt>
                <c:pt idx="1">
                  <c:v>8.5366363276995205E-5</c:v>
                </c:pt>
                <c:pt idx="2">
                  <c:v>-0.6031695471900923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yaw0!$Q$24</c:f>
              <c:strCache>
                <c:ptCount val="1"/>
                <c:pt idx="0">
                  <c:v>ξ=0</c:v>
                </c:pt>
              </c:strCache>
            </c:strRef>
          </c:tx>
          <c:spPr>
            <a:ln w="19001">
              <a:solidFill>
                <a:srgbClr val="0000FF"/>
              </a:solidFill>
            </a:ln>
          </c:spPr>
          <c:marker>
            <c:symbol val="circle"/>
            <c:size val="4"/>
            <c:spPr>
              <a:ln>
                <a:solidFill>
                  <a:srgbClr val="0000FF"/>
                </a:solidFill>
              </a:ln>
            </c:spPr>
          </c:marker>
          <c:xVal>
            <c:numRef>
              <c:f>yaw0!$P$26:$P$46</c:f>
              <c:numCache>
                <c:formatCode>General</c:formatCode>
                <c:ptCount val="21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0.70000000000000007</c:v>
                </c:pt>
                <c:pt idx="4">
                  <c:v>0.60000000000000009</c:v>
                </c:pt>
                <c:pt idx="5">
                  <c:v>0.50000000000000011</c:v>
                </c:pt>
                <c:pt idx="6">
                  <c:v>0.40000000000000013</c:v>
                </c:pt>
                <c:pt idx="7">
                  <c:v>0.30000000000000016</c:v>
                </c:pt>
                <c:pt idx="8">
                  <c:v>0.20000000000000015</c:v>
                </c:pt>
                <c:pt idx="9">
                  <c:v>0.10000000000000014</c:v>
                </c:pt>
                <c:pt idx="10">
                  <c:v>0</c:v>
                </c:pt>
                <c:pt idx="11">
                  <c:v>-0.1</c:v>
                </c:pt>
                <c:pt idx="12">
                  <c:v>-0.2</c:v>
                </c:pt>
                <c:pt idx="13">
                  <c:v>-0.30000000000000004</c:v>
                </c:pt>
                <c:pt idx="14">
                  <c:v>-0.4</c:v>
                </c:pt>
                <c:pt idx="15">
                  <c:v>-0.5</c:v>
                </c:pt>
                <c:pt idx="16">
                  <c:v>-0.6</c:v>
                </c:pt>
                <c:pt idx="17">
                  <c:v>-0.7</c:v>
                </c:pt>
                <c:pt idx="18">
                  <c:v>-0.79999999999999993</c:v>
                </c:pt>
                <c:pt idx="19">
                  <c:v>-0.89999999999999991</c:v>
                </c:pt>
                <c:pt idx="20">
                  <c:v>-0.99999999999999989</c:v>
                </c:pt>
              </c:numCache>
            </c:numRef>
          </c:xVal>
          <c:yVal>
            <c:numRef>
              <c:f>yaw0!$Q$26:$Q$46</c:f>
              <c:numCache>
                <c:formatCode>General</c:formatCode>
                <c:ptCount val="21"/>
                <c:pt idx="0">
                  <c:v>1.2682578</c:v>
                </c:pt>
                <c:pt idx="1">
                  <c:v>1.136819</c:v>
                </c:pt>
                <c:pt idx="2">
                  <c:v>0.99824626666666672</c:v>
                </c:pt>
                <c:pt idx="3">
                  <c:v>0.86482310000000007</c:v>
                </c:pt>
                <c:pt idx="4">
                  <c:v>0.71274439999999994</c:v>
                </c:pt>
                <c:pt idx="5">
                  <c:v>0.57518500000000006</c:v>
                </c:pt>
                <c:pt idx="6">
                  <c:v>0.45356166666666642</c:v>
                </c:pt>
                <c:pt idx="7">
                  <c:v>0.34006099999999995</c:v>
                </c:pt>
                <c:pt idx="8">
                  <c:v>0.20930933333333335</c:v>
                </c:pt>
                <c:pt idx="9">
                  <c:v>0.11580733333333337</c:v>
                </c:pt>
                <c:pt idx="10">
                  <c:v>0</c:v>
                </c:pt>
                <c:pt idx="11">
                  <c:v>-0.12839899999999993</c:v>
                </c:pt>
                <c:pt idx="12">
                  <c:v>-0.26422333333333325</c:v>
                </c:pt>
                <c:pt idx="13">
                  <c:v>-0.40835099999999991</c:v>
                </c:pt>
                <c:pt idx="14">
                  <c:v>-0.5542406666666666</c:v>
                </c:pt>
                <c:pt idx="15">
                  <c:v>-0.69121733333333313</c:v>
                </c:pt>
                <c:pt idx="16">
                  <c:v>-0.85163799999999967</c:v>
                </c:pt>
                <c:pt idx="17">
                  <c:v>-0.99385899999999983</c:v>
                </c:pt>
                <c:pt idx="18">
                  <c:v>-1.1254586666666666</c:v>
                </c:pt>
                <c:pt idx="19">
                  <c:v>-1.2748083333333333</c:v>
                </c:pt>
                <c:pt idx="20">
                  <c:v>-1.4185033333333334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yaw0!$T$24</c:f>
              <c:strCache>
                <c:ptCount val="1"/>
                <c:pt idx="0">
                  <c:v>ξ=45</c:v>
                </c:pt>
              </c:strCache>
            </c:strRef>
          </c:tx>
          <c:spPr>
            <a:ln w="15834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chemeClr val="bg1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yaw0!$P$26:$P$46</c:f>
              <c:numCache>
                <c:formatCode>General</c:formatCode>
                <c:ptCount val="21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0.70000000000000007</c:v>
                </c:pt>
                <c:pt idx="4">
                  <c:v>0.60000000000000009</c:v>
                </c:pt>
                <c:pt idx="5">
                  <c:v>0.50000000000000011</c:v>
                </c:pt>
                <c:pt idx="6">
                  <c:v>0.40000000000000013</c:v>
                </c:pt>
                <c:pt idx="7">
                  <c:v>0.30000000000000016</c:v>
                </c:pt>
                <c:pt idx="8">
                  <c:v>0.20000000000000015</c:v>
                </c:pt>
                <c:pt idx="9">
                  <c:v>0.10000000000000014</c:v>
                </c:pt>
                <c:pt idx="10">
                  <c:v>0</c:v>
                </c:pt>
                <c:pt idx="11">
                  <c:v>-0.1</c:v>
                </c:pt>
                <c:pt idx="12">
                  <c:v>-0.2</c:v>
                </c:pt>
                <c:pt idx="13">
                  <c:v>-0.30000000000000004</c:v>
                </c:pt>
                <c:pt idx="14">
                  <c:v>-0.4</c:v>
                </c:pt>
                <c:pt idx="15">
                  <c:v>-0.5</c:v>
                </c:pt>
                <c:pt idx="16">
                  <c:v>-0.6</c:v>
                </c:pt>
                <c:pt idx="17">
                  <c:v>-0.7</c:v>
                </c:pt>
                <c:pt idx="18">
                  <c:v>-0.79999999999999993</c:v>
                </c:pt>
                <c:pt idx="19">
                  <c:v>-0.89999999999999991</c:v>
                </c:pt>
                <c:pt idx="20">
                  <c:v>-0.99999999999999989</c:v>
                </c:pt>
              </c:numCache>
            </c:numRef>
          </c:xVal>
          <c:yVal>
            <c:numRef>
              <c:f>yaw0!$T$26:$T$46</c:f>
              <c:numCache>
                <c:formatCode>General</c:formatCode>
                <c:ptCount val="21"/>
                <c:pt idx="0">
                  <c:v>0.67618999999999985</c:v>
                </c:pt>
                <c:pt idx="1">
                  <c:v>0.59968999999999983</c:v>
                </c:pt>
                <c:pt idx="2">
                  <c:v>0.53492999999999991</c:v>
                </c:pt>
                <c:pt idx="3">
                  <c:v>0.44479999999999986</c:v>
                </c:pt>
                <c:pt idx="4">
                  <c:v>0.3660699999999999</c:v>
                </c:pt>
                <c:pt idx="5">
                  <c:v>0.29345999999999983</c:v>
                </c:pt>
                <c:pt idx="6">
                  <c:v>0.22072000000000003</c:v>
                </c:pt>
                <c:pt idx="7">
                  <c:v>0.17144000000000004</c:v>
                </c:pt>
                <c:pt idx="8">
                  <c:v>0.13518999999999992</c:v>
                </c:pt>
                <c:pt idx="9">
                  <c:v>7.7039999999999997E-2</c:v>
                </c:pt>
                <c:pt idx="10">
                  <c:v>0</c:v>
                </c:pt>
                <c:pt idx="11">
                  <c:v>-5.4480000000000084E-2</c:v>
                </c:pt>
                <c:pt idx="12">
                  <c:v>-0.11288000000000009</c:v>
                </c:pt>
                <c:pt idx="13">
                  <c:v>-0.19293000000000005</c:v>
                </c:pt>
                <c:pt idx="14">
                  <c:v>-0.27993000000000023</c:v>
                </c:pt>
                <c:pt idx="15">
                  <c:v>-0.37663000000000002</c:v>
                </c:pt>
                <c:pt idx="16">
                  <c:v>-0.45822000000000029</c:v>
                </c:pt>
                <c:pt idx="17">
                  <c:v>-0.52184000000000008</c:v>
                </c:pt>
                <c:pt idx="18">
                  <c:v>-0.58833000000000002</c:v>
                </c:pt>
                <c:pt idx="19">
                  <c:v>-0.69433999999999996</c:v>
                </c:pt>
                <c:pt idx="20">
                  <c:v>-0.75326000000000004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3784680"/>
        <c:axId val="393783896"/>
      </c:scatterChart>
      <c:valAx>
        <c:axId val="393784680"/>
        <c:scaling>
          <c:orientation val="minMax"/>
          <c:max val="1"/>
          <c:min val="-1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Pitch angle amplitude </a:t>
                </a:r>
                <a:r>
                  <a:rPr lang="en-US" sz="1045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α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[</a:t>
                </a:r>
                <a:r>
                  <a:rPr lang="en-US" sz="1045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o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]</a:t>
                </a:r>
              </a:p>
            </c:rich>
          </c:tx>
          <c:layout>
            <c:manualLayout>
              <c:xMode val="edge"/>
              <c:yMode val="edge"/>
              <c:x val="0.33956549548953441"/>
              <c:y val="0.92719806763285029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93783896"/>
        <c:crosses val="autoZero"/>
        <c:crossBetween val="midCat"/>
      </c:valAx>
      <c:valAx>
        <c:axId val="393783896"/>
        <c:scaling>
          <c:orientation val="minMax"/>
          <c:max val="2"/>
          <c:min val="-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Pitching Moment </a:t>
                </a:r>
                <a:r>
                  <a:rPr lang="en-US" sz="1045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M</a:t>
                </a:r>
                <a:r>
                  <a:rPr lang="en-US" sz="1045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x 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[Nm]</a:t>
                </a:r>
              </a:p>
            </c:rich>
          </c:tx>
          <c:layout>
            <c:manualLayout>
              <c:xMode val="edge"/>
              <c:yMode val="edge"/>
              <c:x val="0"/>
              <c:y val="0.23268515348624899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crossAx val="393784680"/>
        <c:crosses val="autoZero"/>
        <c:crossBetween val="midCat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5643485740753"/>
          <c:y val="0.57975236791053297"/>
          <c:w val="0.22714131321820064"/>
          <c:h val="0.26863935486325086"/>
        </c:manualLayout>
      </c:layout>
      <c:overlay val="0"/>
      <c:spPr>
        <a:solidFill>
          <a:sysClr val="window" lastClr="FFFFFF"/>
        </a:solidFill>
        <a:ln>
          <a:noFill/>
        </a:ln>
      </c:spPr>
      <c:txPr>
        <a:bodyPr/>
        <a:lstStyle/>
        <a:p>
          <a:pPr>
            <a:defRPr sz="898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47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7663256413639"/>
          <c:y val="3.8053801833329397E-2"/>
          <c:w val="0.82150857393889098"/>
          <c:h val="0.81085240486626098"/>
        </c:manualLayout>
      </c:layout>
      <c:scatterChart>
        <c:scatterStyle val="lineMarker"/>
        <c:varyColors val="0"/>
        <c:ser>
          <c:idx val="0"/>
          <c:order val="0"/>
          <c:tx>
            <c:strRef>
              <c:f>yaw0!$C$7</c:f>
              <c:strCache>
                <c:ptCount val="1"/>
                <c:pt idx="0">
                  <c:v>ξ=0</c:v>
                </c:pt>
              </c:strCache>
            </c:strRef>
          </c:tx>
          <c:spPr>
            <a:ln w="15832">
              <a:solidFill>
                <a:srgbClr val="300EFE"/>
              </a:solidFill>
            </a:ln>
          </c:spPr>
          <c:marker>
            <c:symbol val="circle"/>
            <c:size val="4"/>
            <c:spPr>
              <a:solidFill>
                <a:srgbClr val="300EFE"/>
              </a:solidFill>
              <a:ln>
                <a:solidFill>
                  <a:srgbClr val="300EFE"/>
                </a:solidFill>
              </a:ln>
            </c:spPr>
          </c:marker>
          <c:xVal>
            <c:numRef>
              <c:f>yaw0!$B$13:$B$15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-1</c:v>
                </c:pt>
              </c:numCache>
            </c:numRef>
          </c:xVal>
          <c:yVal>
            <c:numRef>
              <c:f>yaw0!$E$13:$E$15</c:f>
              <c:numCache>
                <c:formatCode>General</c:formatCode>
                <c:ptCount val="3"/>
                <c:pt idx="0">
                  <c:v>-6.1658169879333993E-3</c:v>
                </c:pt>
                <c:pt idx="1">
                  <c:v>-4.5644638605162741E-6</c:v>
                </c:pt>
                <c:pt idx="2">
                  <c:v>6.6832630895536701E-3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yaw0!$F$7</c:f>
              <c:strCache>
                <c:ptCount val="1"/>
                <c:pt idx="0">
                  <c:v>ξ=45</c:v>
                </c:pt>
              </c:strCache>
            </c:strRef>
          </c:tx>
          <c:spPr>
            <a:ln w="15832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yaw0!$B$13:$B$15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-1</c:v>
                </c:pt>
              </c:numCache>
            </c:numRef>
          </c:xVal>
          <c:yVal>
            <c:numRef>
              <c:f>yaw0!$H$13:$H$15</c:f>
              <c:numCache>
                <c:formatCode>General</c:formatCode>
                <c:ptCount val="3"/>
                <c:pt idx="0">
                  <c:v>-0.578279998239699</c:v>
                </c:pt>
                <c:pt idx="1">
                  <c:v>-4.5644638605162741E-6</c:v>
                </c:pt>
                <c:pt idx="2">
                  <c:v>0.57672288108664804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yaw0!$Q$24</c:f>
              <c:strCache>
                <c:ptCount val="1"/>
                <c:pt idx="0">
                  <c:v>ξ=0</c:v>
                </c:pt>
              </c:strCache>
            </c:strRef>
          </c:tx>
          <c:spPr>
            <a:ln w="15832">
              <a:solidFill>
                <a:srgbClr val="0000FF"/>
              </a:solidFill>
            </a:ln>
          </c:spPr>
          <c:marker>
            <c:symbol val="circle"/>
            <c:size val="4"/>
            <c:spPr>
              <a:ln>
                <a:solidFill>
                  <a:srgbClr val="0000FF"/>
                </a:solidFill>
              </a:ln>
            </c:spPr>
          </c:marker>
          <c:xVal>
            <c:numRef>
              <c:f>yaw0!$P$26:$P$46</c:f>
              <c:numCache>
                <c:formatCode>General</c:formatCode>
                <c:ptCount val="21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0.70000000000000007</c:v>
                </c:pt>
                <c:pt idx="4">
                  <c:v>0.60000000000000009</c:v>
                </c:pt>
                <c:pt idx="5">
                  <c:v>0.50000000000000011</c:v>
                </c:pt>
                <c:pt idx="6">
                  <c:v>0.40000000000000013</c:v>
                </c:pt>
                <c:pt idx="7">
                  <c:v>0.30000000000000016</c:v>
                </c:pt>
                <c:pt idx="8">
                  <c:v>0.20000000000000015</c:v>
                </c:pt>
                <c:pt idx="9">
                  <c:v>0.10000000000000014</c:v>
                </c:pt>
                <c:pt idx="10">
                  <c:v>0</c:v>
                </c:pt>
                <c:pt idx="11">
                  <c:v>-0.1</c:v>
                </c:pt>
                <c:pt idx="12">
                  <c:v>-0.2</c:v>
                </c:pt>
                <c:pt idx="13">
                  <c:v>-0.30000000000000004</c:v>
                </c:pt>
                <c:pt idx="14">
                  <c:v>-0.4</c:v>
                </c:pt>
                <c:pt idx="15">
                  <c:v>-0.5</c:v>
                </c:pt>
                <c:pt idx="16">
                  <c:v>-0.6</c:v>
                </c:pt>
                <c:pt idx="17">
                  <c:v>-0.7</c:v>
                </c:pt>
                <c:pt idx="18">
                  <c:v>-0.79999999999999993</c:v>
                </c:pt>
                <c:pt idx="19">
                  <c:v>-0.89999999999999991</c:v>
                </c:pt>
                <c:pt idx="20">
                  <c:v>-0.99999999999999989</c:v>
                </c:pt>
              </c:numCache>
            </c:numRef>
          </c:xVal>
          <c:yVal>
            <c:numRef>
              <c:f>yaw0!$S$26:$S$46</c:f>
              <c:numCache>
                <c:formatCode>General</c:formatCode>
                <c:ptCount val="21"/>
                <c:pt idx="0">
                  <c:v>-0.1406993666666666</c:v>
                </c:pt>
                <c:pt idx="1">
                  <c:v>-0.15486203333333315</c:v>
                </c:pt>
                <c:pt idx="2">
                  <c:v>-0.16394836666666657</c:v>
                </c:pt>
                <c:pt idx="3">
                  <c:v>-0.15386689999999981</c:v>
                </c:pt>
                <c:pt idx="4">
                  <c:v>-0.13564869999999996</c:v>
                </c:pt>
                <c:pt idx="5">
                  <c:v>-0.1211643</c:v>
                </c:pt>
                <c:pt idx="6">
                  <c:v>-0.10622759999999998</c:v>
                </c:pt>
                <c:pt idx="7">
                  <c:v>-6.9284199999999907E-2</c:v>
                </c:pt>
                <c:pt idx="8">
                  <c:v>-5.9378599999999837E-2</c:v>
                </c:pt>
                <c:pt idx="9">
                  <c:v>-3.4973199999999816E-2</c:v>
                </c:pt>
                <c:pt idx="10">
                  <c:v>0</c:v>
                </c:pt>
                <c:pt idx="11">
                  <c:v>2.7145833333333425E-2</c:v>
                </c:pt>
                <c:pt idx="12">
                  <c:v>4.8090266666666714E-2</c:v>
                </c:pt>
                <c:pt idx="13">
                  <c:v>8.3589333333333404E-2</c:v>
                </c:pt>
                <c:pt idx="14">
                  <c:v>0.11939333333333357</c:v>
                </c:pt>
                <c:pt idx="15">
                  <c:v>0.15375466666666682</c:v>
                </c:pt>
                <c:pt idx="16">
                  <c:v>0.17830166666666669</c:v>
                </c:pt>
                <c:pt idx="17">
                  <c:v>0.21555933333333333</c:v>
                </c:pt>
                <c:pt idx="18">
                  <c:v>0.25561900000000015</c:v>
                </c:pt>
                <c:pt idx="19">
                  <c:v>0.30096233333333344</c:v>
                </c:pt>
                <c:pt idx="20">
                  <c:v>0.30811066666666675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yaw0!$T$24</c:f>
              <c:strCache>
                <c:ptCount val="1"/>
                <c:pt idx="0">
                  <c:v>ξ=45</c:v>
                </c:pt>
              </c:strCache>
            </c:strRef>
          </c:tx>
          <c:spPr>
            <a:ln w="15832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chemeClr val="bg1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yaw0!$P$26:$P$46</c:f>
              <c:numCache>
                <c:formatCode>General</c:formatCode>
                <c:ptCount val="21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0.70000000000000007</c:v>
                </c:pt>
                <c:pt idx="4">
                  <c:v>0.60000000000000009</c:v>
                </c:pt>
                <c:pt idx="5">
                  <c:v>0.50000000000000011</c:v>
                </c:pt>
                <c:pt idx="6">
                  <c:v>0.40000000000000013</c:v>
                </c:pt>
                <c:pt idx="7">
                  <c:v>0.30000000000000016</c:v>
                </c:pt>
                <c:pt idx="8">
                  <c:v>0.20000000000000015</c:v>
                </c:pt>
                <c:pt idx="9">
                  <c:v>0.10000000000000014</c:v>
                </c:pt>
                <c:pt idx="10">
                  <c:v>0</c:v>
                </c:pt>
                <c:pt idx="11">
                  <c:v>-0.1</c:v>
                </c:pt>
                <c:pt idx="12">
                  <c:v>-0.2</c:v>
                </c:pt>
                <c:pt idx="13">
                  <c:v>-0.30000000000000004</c:v>
                </c:pt>
                <c:pt idx="14">
                  <c:v>-0.4</c:v>
                </c:pt>
                <c:pt idx="15">
                  <c:v>-0.5</c:v>
                </c:pt>
                <c:pt idx="16">
                  <c:v>-0.6</c:v>
                </c:pt>
                <c:pt idx="17">
                  <c:v>-0.7</c:v>
                </c:pt>
                <c:pt idx="18">
                  <c:v>-0.79999999999999993</c:v>
                </c:pt>
                <c:pt idx="19">
                  <c:v>-0.89999999999999991</c:v>
                </c:pt>
                <c:pt idx="20">
                  <c:v>-0.99999999999999989</c:v>
                </c:pt>
              </c:numCache>
            </c:numRef>
          </c:xVal>
          <c:yVal>
            <c:numRef>
              <c:f>yaw0!$V$26:$V$46</c:f>
              <c:numCache>
                <c:formatCode>General</c:formatCode>
                <c:ptCount val="21"/>
                <c:pt idx="0">
                  <c:v>-0.88859100000000002</c:v>
                </c:pt>
                <c:pt idx="1">
                  <c:v>-0.82562100000000005</c:v>
                </c:pt>
                <c:pt idx="2">
                  <c:v>-0.74584899999999998</c:v>
                </c:pt>
                <c:pt idx="3">
                  <c:v>-0.66633300000000006</c:v>
                </c:pt>
                <c:pt idx="4">
                  <c:v>-0.56540299999999999</c:v>
                </c:pt>
                <c:pt idx="5">
                  <c:v>-0.472001</c:v>
                </c:pt>
                <c:pt idx="6">
                  <c:v>-0.37077199999999999</c:v>
                </c:pt>
                <c:pt idx="7">
                  <c:v>-0.28308100000000003</c:v>
                </c:pt>
                <c:pt idx="8">
                  <c:v>-0.19598899999999997</c:v>
                </c:pt>
                <c:pt idx="9">
                  <c:v>-0.10048800000000002</c:v>
                </c:pt>
                <c:pt idx="10">
                  <c:v>0</c:v>
                </c:pt>
                <c:pt idx="11">
                  <c:v>8.8663999999999965E-2</c:v>
                </c:pt>
                <c:pt idx="12">
                  <c:v>0.19960300000000009</c:v>
                </c:pt>
                <c:pt idx="13">
                  <c:v>0.30399699999999996</c:v>
                </c:pt>
                <c:pt idx="14">
                  <c:v>0.41136300000000003</c:v>
                </c:pt>
                <c:pt idx="15">
                  <c:v>0.53644900000000006</c:v>
                </c:pt>
                <c:pt idx="16">
                  <c:v>0.65615199999999996</c:v>
                </c:pt>
                <c:pt idx="17">
                  <c:v>0.79267100000000001</c:v>
                </c:pt>
                <c:pt idx="18">
                  <c:v>0.95177100000000003</c:v>
                </c:pt>
                <c:pt idx="19">
                  <c:v>1.1359719999999998</c:v>
                </c:pt>
                <c:pt idx="20">
                  <c:v>1.1465989999999997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554256"/>
        <c:axId val="188554648"/>
      </c:scatterChart>
      <c:valAx>
        <c:axId val="188554256"/>
        <c:scaling>
          <c:orientation val="minMax"/>
          <c:max val="1"/>
          <c:min val="-1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Pitch angle amplitude </a:t>
                </a:r>
                <a:r>
                  <a:rPr lang="en-US" sz="1045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α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[</a:t>
                </a:r>
                <a:r>
                  <a:rPr lang="en-US" sz="1045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o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88554648"/>
        <c:crosses val="autoZero"/>
        <c:crossBetween val="midCat"/>
      </c:valAx>
      <c:valAx>
        <c:axId val="188554648"/>
        <c:scaling>
          <c:orientation val="minMax"/>
          <c:max val="2"/>
          <c:min val="-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Yaw Moment </a:t>
                </a:r>
                <a:r>
                  <a:rPr lang="en-US" sz="1045" b="0" i="1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M</a:t>
                </a:r>
                <a:r>
                  <a:rPr lang="en-US" sz="1045" b="0" i="0" u="none" strike="noStrike" baseline="-25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z </a:t>
                </a:r>
                <a:r>
                  <a:rPr lang="en-US" sz="1045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[Nm]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188554256"/>
        <c:crosses val="autoZero"/>
        <c:crossBetween val="midCat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056479051229709"/>
          <c:y val="0.54203050705618316"/>
          <c:w val="0.22884838469265412"/>
          <c:h val="0.29982388071056332"/>
        </c:manualLayout>
      </c:layout>
      <c:overlay val="0"/>
      <c:spPr>
        <a:solidFill>
          <a:sysClr val="window" lastClr="FFFFFF"/>
        </a:solidFill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47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FF9E-5556-4EDD-BB6F-DED78C22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LeSang</dc:creator>
  <cp:keywords/>
  <dc:description/>
  <cp:lastModifiedBy>LeSang</cp:lastModifiedBy>
  <cp:revision>2</cp:revision>
  <dcterms:created xsi:type="dcterms:W3CDTF">2017-11-02T00:57:00Z</dcterms:created>
  <dcterms:modified xsi:type="dcterms:W3CDTF">2017-11-02T02:28:00Z</dcterms:modified>
</cp:coreProperties>
</file>